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3A4B3" w14:textId="77777777" w:rsidR="001D123B" w:rsidRPr="001D123B" w:rsidRDefault="001D123B" w:rsidP="001D12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3525CF8" w14:textId="1A3F4954" w:rsidR="001D123B" w:rsidRPr="001D123B" w:rsidRDefault="001D123B" w:rsidP="001D12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2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77945E" wp14:editId="42999D96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545D2" w14:textId="77777777" w:rsidR="001D123B" w:rsidRPr="001D123B" w:rsidRDefault="001D123B" w:rsidP="001D1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14:paraId="00147E2E" w14:textId="77777777" w:rsidR="001D123B" w:rsidRPr="001D123B" w:rsidRDefault="001D123B" w:rsidP="001D1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ИСТРА</w:t>
      </w:r>
    </w:p>
    <w:p w14:paraId="2D396BFA" w14:textId="77777777" w:rsidR="001D123B" w:rsidRPr="001D123B" w:rsidRDefault="001D123B" w:rsidP="001D1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14:paraId="0EF01151" w14:textId="5643499D" w:rsidR="001D123B" w:rsidRPr="001D123B" w:rsidRDefault="001D123B" w:rsidP="001D123B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D123B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BB49EED" wp14:editId="1DC2D3C7">
                <wp:simplePos x="0" y="0"/>
                <wp:positionH relativeFrom="column">
                  <wp:posOffset>-96520</wp:posOffset>
                </wp:positionH>
                <wp:positionV relativeFrom="paragraph">
                  <wp:posOffset>66674</wp:posOffset>
                </wp:positionV>
                <wp:extent cx="6107430" cy="0"/>
                <wp:effectExtent l="0" t="19050" r="2667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75C8E" id="Прямая соединительная линия 3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.6pt,5.25pt" to="473.3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" strokeweight="2.25pt"/>
            </w:pict>
          </mc:Fallback>
        </mc:AlternateContent>
      </w:r>
      <w:r w:rsidRPr="001D123B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B41A584" wp14:editId="6FFC1492">
                <wp:simplePos x="0" y="0"/>
                <wp:positionH relativeFrom="column">
                  <wp:posOffset>-96520</wp:posOffset>
                </wp:positionH>
                <wp:positionV relativeFrom="paragraph">
                  <wp:posOffset>114299</wp:posOffset>
                </wp:positionV>
                <wp:extent cx="610743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3A42B" id="Прямая соединительная линия 2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9pt" to="473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" strokeweight="1pt"/>
            </w:pict>
          </mc:Fallback>
        </mc:AlternateContent>
      </w:r>
    </w:p>
    <w:p w14:paraId="2AD51A15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12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О С Т А Н О В Л Е Н И Е</w:t>
      </w:r>
    </w:p>
    <w:p w14:paraId="4C56604F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bookmarkStart w:id="0" w:name="_Hlk169873983"/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21.06.2024</w:t>
      </w:r>
      <w:bookmarkEnd w:id="0"/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</w:t>
      </w:r>
      <w:bookmarkStart w:id="1" w:name="_Hlk169874004"/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225/6</w:t>
      </w:r>
      <w:bookmarkEnd w:id="1"/>
    </w:p>
    <w:p w14:paraId="28B997E2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48321" w14:textId="77777777" w:rsidR="001D123B" w:rsidRPr="001D123B" w:rsidRDefault="001D123B" w:rsidP="001D12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утверждении Положения об условиях и порядке заключения соглашений о защите и поощрении капиталовложений со стороны городского округа Истра Московской области</w:t>
      </w:r>
    </w:p>
    <w:p w14:paraId="0F277484" w14:textId="77777777" w:rsidR="001D123B" w:rsidRPr="001D123B" w:rsidRDefault="001D123B" w:rsidP="001D12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7AD923D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Федеральным законом от 01.04.2020 № 69-ФЗ «О защите и поощрении капиталовложений в </w:t>
      </w:r>
      <w:bookmarkStart w:id="2" w:name="_Hlk169784953"/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Российской Федерации</w:t>
      </w:r>
      <w:bookmarkEnd w:id="2"/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</w:t>
      </w: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Правительства </w:t>
      </w:r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Российской Федерации</w:t>
      </w: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13.09.2022 № 1602 «О соглашениях о защите и поощрении капиталовложений»,</w:t>
      </w:r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Московской области от 14.12.2022 № 1382/46 «Об утверждении Порядка заключения соглашений о защите и поощрении капиталовложений, стороной которых является Московская область и не является Российская Федерация, изменения и прекращения действия таких соглашений, особенности раскрытия информации о бенефициарных владельцах организации, реализующей инвестиционный проект», руководствуясь Уставом городского округа Истра Московской области</w:t>
      </w:r>
    </w:p>
    <w:p w14:paraId="58D02765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 О С Т А Н О В Л Я Ю:</w:t>
      </w:r>
    </w:p>
    <w:p w14:paraId="448423A2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C57E4CE" w14:textId="77777777" w:rsidR="001D123B" w:rsidRPr="001D123B" w:rsidRDefault="001D123B" w:rsidP="001D123B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D123B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Pr="001D12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Положение об условиях и порядке заключения соглашений о защите и поощрении капиталовложений со стороны городского округа Истра Московской области согласно приложению</w:t>
      </w: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D123B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</w:p>
    <w:p w14:paraId="72F17C56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Опубликовать настоящее постановление на официальном сайте администрации городского округа Истра Московской области в информационно-телекоммуникационной сети «Интернет» по адресу: </w:t>
      </w:r>
      <w:hyperlink r:id="rId8" w:history="1">
        <w:r w:rsidRPr="001D123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https://istra-adm.ru/</w:t>
        </w:r>
      </w:hyperlink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53BF6B7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со дня его официального опубликования.</w:t>
      </w:r>
    </w:p>
    <w:p w14:paraId="58748D8A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заместителя главы городского округа Истра Московской области </w:t>
      </w:r>
      <w:proofErr w:type="spellStart"/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Таловерова</w:t>
      </w:r>
      <w:proofErr w:type="spellEnd"/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С.Ю.</w:t>
      </w:r>
    </w:p>
    <w:p w14:paraId="0A66D6C8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4A5C7F" w14:textId="77777777" w:rsidR="001D123B" w:rsidRPr="001D123B" w:rsidRDefault="001D123B" w:rsidP="001D12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715728" w14:textId="46CCA1C5" w:rsidR="00ED498E" w:rsidRDefault="001D123B" w:rsidP="001D123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городского округа Истра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Т.С. </w:t>
      </w:r>
      <w:proofErr w:type="spellStart"/>
      <w:r w:rsidRPr="001D123B">
        <w:rPr>
          <w:rFonts w:ascii="Times New Roman" w:eastAsia="Times New Roman" w:hAnsi="Times New Roman" w:cs="Times New Roman"/>
          <w:sz w:val="26"/>
          <w:szCs w:val="26"/>
          <w:lang w:eastAsia="ru-RU"/>
        </w:rPr>
        <w:t>Витушева</w:t>
      </w:r>
      <w:proofErr w:type="spellEnd"/>
    </w:p>
    <w:p w14:paraId="3366CCBF" w14:textId="09C98E7C" w:rsidR="00FD22B6" w:rsidRDefault="00FD22B6" w:rsidP="001D123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6BEF62" w14:textId="0BCB4F42" w:rsidR="00FD22B6" w:rsidRDefault="00FD22B6" w:rsidP="001D123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BF3E5E" w14:textId="77777777" w:rsidR="00FD22B6" w:rsidRPr="00587699" w:rsidRDefault="00FD22B6" w:rsidP="00FD22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8769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14:paraId="39C8875F" w14:textId="77777777" w:rsidR="00FD22B6" w:rsidRPr="00587699" w:rsidRDefault="00FD22B6" w:rsidP="00FD22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8769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постановлению главы </w:t>
      </w:r>
    </w:p>
    <w:p w14:paraId="5CFE1EA7" w14:textId="77777777" w:rsidR="00FD22B6" w:rsidRPr="00587699" w:rsidRDefault="00FD22B6" w:rsidP="00FD22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8769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городского округа Истра  </w:t>
      </w:r>
    </w:p>
    <w:p w14:paraId="1BEAD007" w14:textId="77777777" w:rsidR="00FD22B6" w:rsidRPr="00587699" w:rsidRDefault="00FD22B6" w:rsidP="00FD22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3" w:name="_Hlk151046293"/>
      <w:r w:rsidRPr="00587699">
        <w:rPr>
          <w:rFonts w:ascii="Times New Roman" w:eastAsia="Times New Roman" w:hAnsi="Times New Roman" w:cs="Times New Roman"/>
          <w:sz w:val="24"/>
          <w:szCs w:val="28"/>
          <w:lang w:eastAsia="ru-RU"/>
        </w:rPr>
        <w:t>Московской области</w:t>
      </w:r>
    </w:p>
    <w:bookmarkEnd w:id="3"/>
    <w:p w14:paraId="1A3B4A7A" w14:textId="77777777" w:rsidR="00FD22B6" w:rsidRPr="00587699" w:rsidRDefault="00FD22B6" w:rsidP="00FD22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8769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Pr="00587699">
        <w:rPr>
          <w:rFonts w:ascii="Calibri" w:eastAsia="Times New Roman" w:hAnsi="Calibri" w:cs="Times New Roman"/>
          <w:color w:val="000000"/>
          <w:sz w:val="26"/>
          <w:szCs w:val="26"/>
          <w:u w:val="single"/>
          <w:lang w:eastAsia="ru-RU"/>
        </w:rPr>
        <w:t xml:space="preserve">21.06.2024 </w:t>
      </w:r>
      <w:r w:rsidRPr="00587699">
        <w:rPr>
          <w:rFonts w:ascii="Times New Roman" w:eastAsia="Times New Roman" w:hAnsi="Times New Roman" w:cs="Times New Roman"/>
          <w:sz w:val="24"/>
          <w:szCs w:val="28"/>
          <w:lang w:eastAsia="ru-RU"/>
        </w:rPr>
        <w:t>№</w:t>
      </w:r>
      <w:r w:rsidRPr="00587699">
        <w:rPr>
          <w:rFonts w:ascii="Calibri" w:eastAsia="Times New Roman" w:hAnsi="Calibri" w:cs="Times New Roman"/>
          <w:color w:val="000000"/>
          <w:sz w:val="26"/>
          <w:szCs w:val="26"/>
          <w:u w:val="single"/>
          <w:lang w:eastAsia="ru-RU"/>
        </w:rPr>
        <w:t>225/6</w:t>
      </w:r>
    </w:p>
    <w:p w14:paraId="6FA4EB0E" w14:textId="77777777" w:rsidR="00FD22B6" w:rsidRPr="00587699" w:rsidRDefault="00FD22B6" w:rsidP="00FD22B6">
      <w:pPr>
        <w:spacing w:after="0" w:line="240" w:lineRule="auto"/>
        <w:ind w:left="5103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4DA75E4" w14:textId="77777777" w:rsidR="00FD22B6" w:rsidRPr="00587699" w:rsidRDefault="00FD22B6" w:rsidP="00FD22B6">
      <w:pPr>
        <w:spacing w:after="0" w:line="240" w:lineRule="auto"/>
        <w:ind w:left="5103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BE984C4" w14:textId="77777777" w:rsidR="00FD22B6" w:rsidRPr="00FD22B6" w:rsidRDefault="00FD22B6" w:rsidP="00FD2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 об условиях и порядке заключения соглашений о защите и поощрении капиталовложений со стороны городского округа Истра Московской области</w:t>
      </w:r>
    </w:p>
    <w:p w14:paraId="78974457" w14:textId="77777777" w:rsidR="00FD22B6" w:rsidRPr="00FD22B6" w:rsidRDefault="00FD22B6" w:rsidP="00FD22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5C899" w14:textId="77777777" w:rsidR="00FD22B6" w:rsidRPr="00FD22B6" w:rsidRDefault="00FD22B6" w:rsidP="00FD22B6">
      <w:pPr>
        <w:widowControl w:val="0"/>
        <w:numPr>
          <w:ilvl w:val="0"/>
          <w:numId w:val="2"/>
        </w:numPr>
        <w:tabs>
          <w:tab w:val="left" w:pos="1095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Настоящее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применяется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к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соглашениям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о защите и поощрении капиталовложений (далее – Соглашение) </w:t>
      </w:r>
      <w:r w:rsidRPr="00FD22B6">
        <w:rPr>
          <w:rFonts w:ascii="Times New Roman" w:eastAsia="Calibri" w:hAnsi="Times New Roman" w:cs="Times New Roman"/>
          <w:sz w:val="28"/>
          <w:szCs w:val="28"/>
        </w:rPr>
        <w:t>(дополнительным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соглашениям к ним), заключаемым в порядке частной проектной инициативы на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основании заявлений о заключении соглашения российских юридических лиц,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отвечающих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признакам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организации,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реализующей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инвестиционный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установленным</w:t>
      </w:r>
      <w:r w:rsidRPr="00FD22B6">
        <w:rPr>
          <w:rFonts w:ascii="Times New Roman" w:eastAsia="Calibri" w:hAnsi="Times New Roman" w:cs="Times New Roman"/>
          <w:spacing w:val="45"/>
          <w:sz w:val="28"/>
          <w:szCs w:val="28"/>
        </w:rPr>
        <w:t xml:space="preserve"> </w:t>
      </w:r>
      <w:hyperlink r:id="rId9">
        <w:r w:rsidRPr="00FD22B6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  <w:r w:rsidRPr="00FD22B6">
          <w:rPr>
            <w:rFonts w:ascii="Times New Roman" w:eastAsia="Calibri" w:hAnsi="Times New Roman" w:cs="Times New Roman"/>
            <w:spacing w:val="44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8</w:t>
        </w:r>
        <w:r w:rsidRPr="00FD22B6">
          <w:rPr>
            <w:rFonts w:ascii="Times New Roman" w:eastAsia="Calibri" w:hAnsi="Times New Roman" w:cs="Times New Roman"/>
            <w:spacing w:val="45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части</w:t>
        </w:r>
        <w:r w:rsidRPr="00FD22B6">
          <w:rPr>
            <w:rFonts w:ascii="Times New Roman" w:eastAsia="Calibri" w:hAnsi="Times New Roman" w:cs="Times New Roman"/>
            <w:spacing w:val="47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1</w:t>
        </w:r>
        <w:r w:rsidRPr="00FD22B6">
          <w:rPr>
            <w:rFonts w:ascii="Times New Roman" w:eastAsia="Calibri" w:hAnsi="Times New Roman" w:cs="Times New Roman"/>
            <w:spacing w:val="46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статьи</w:t>
        </w:r>
        <w:r w:rsidRPr="00FD22B6">
          <w:rPr>
            <w:rFonts w:ascii="Times New Roman" w:eastAsia="Calibri" w:hAnsi="Times New Roman" w:cs="Times New Roman"/>
            <w:spacing w:val="47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Pr="00FD22B6">
        <w:rPr>
          <w:rFonts w:ascii="Times New Roman" w:eastAsia="Calibri" w:hAnsi="Times New Roman" w:cs="Times New Roman"/>
          <w:spacing w:val="53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Федерального</w:t>
      </w:r>
      <w:r w:rsidRPr="00FD22B6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закона</w:t>
      </w:r>
      <w:r w:rsidRPr="00FD22B6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от</w:t>
      </w:r>
      <w:r w:rsidRPr="00FD22B6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01.04.2020 № 69-ФЗ «О защите и поощрении капиталовложений в Российской Федерации»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(далее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соответственно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-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заявитель,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организация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реализующая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инвестиционный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bookmarkStart w:id="4" w:name="_Hlk169794969"/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>Закон  № 69-ФЗ</w:t>
      </w:r>
      <w:bookmarkEnd w:id="4"/>
      <w:r w:rsidRPr="00FD22B6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6A8D6D52" w14:textId="77777777" w:rsidR="00FD22B6" w:rsidRPr="00FD22B6" w:rsidRDefault="00FD22B6" w:rsidP="00FD22B6">
      <w:pPr>
        <w:widowControl w:val="0"/>
        <w:numPr>
          <w:ilvl w:val="0"/>
          <w:numId w:val="2"/>
        </w:numPr>
        <w:tabs>
          <w:tab w:val="left" w:pos="1054"/>
          <w:tab w:val="left" w:pos="2998"/>
          <w:tab w:val="left" w:pos="5970"/>
          <w:tab w:val="left" w:pos="9014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Администрация городского округа Истра (далее – Администрация) может быть стороной Соглашения, если одновременно выполняются следующие условия:</w:t>
      </w:r>
    </w:p>
    <w:p w14:paraId="4EA7D787" w14:textId="77777777" w:rsidR="00FD22B6" w:rsidRPr="00FD22B6" w:rsidRDefault="00FD22B6" w:rsidP="00FD22B6">
      <w:pPr>
        <w:widowControl w:val="0"/>
        <w:tabs>
          <w:tab w:val="left" w:pos="1054"/>
          <w:tab w:val="left" w:pos="2998"/>
          <w:tab w:val="left" w:pos="5970"/>
          <w:tab w:val="left" w:pos="9014"/>
        </w:tabs>
        <w:autoSpaceDE w:val="0"/>
        <w:autoSpaceDN w:val="0"/>
        <w:spacing w:after="200" w:line="276" w:lineRule="auto"/>
        <w:ind w:left="567" w:right="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1) стороной соглашения является Московская область;</w:t>
      </w:r>
    </w:p>
    <w:p w14:paraId="18042FBC" w14:textId="77777777" w:rsidR="00FD22B6" w:rsidRPr="00FD22B6" w:rsidRDefault="00FD22B6" w:rsidP="00FD22B6">
      <w:pPr>
        <w:widowControl w:val="0"/>
        <w:tabs>
          <w:tab w:val="left" w:pos="2998"/>
          <w:tab w:val="left" w:pos="5970"/>
          <w:tab w:val="left" w:pos="9014"/>
        </w:tabs>
        <w:autoSpaceDE w:val="0"/>
        <w:autoSpaceDN w:val="0"/>
        <w:spacing w:after="200" w:line="276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2) стороной соглашения является организация, реализующая инвестиционный проект на территории городского округа Истра, соответствующая требованиям пунктов 8, 10 части 1 статьи 2 Закона № 69-ФЗ;</w:t>
      </w:r>
    </w:p>
    <w:p w14:paraId="73A80307" w14:textId="77777777" w:rsidR="00FD22B6" w:rsidRPr="00FD22B6" w:rsidRDefault="00FD22B6" w:rsidP="00FD22B6">
      <w:pPr>
        <w:widowControl w:val="0"/>
        <w:tabs>
          <w:tab w:val="left" w:pos="1054"/>
          <w:tab w:val="left" w:pos="2998"/>
          <w:tab w:val="left" w:pos="5970"/>
          <w:tab w:val="left" w:pos="9014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3) инвестиционный проект, в отношении которого предлагается заключить соглашение, соответствует требованиям, предусмотренным Законом № 69-ФЗ.</w:t>
      </w:r>
    </w:p>
    <w:p w14:paraId="0F892B8B" w14:textId="77777777" w:rsidR="00FD22B6" w:rsidRPr="00FD22B6" w:rsidRDefault="00FD22B6" w:rsidP="00FD22B6">
      <w:pPr>
        <w:widowControl w:val="0"/>
        <w:numPr>
          <w:ilvl w:val="0"/>
          <w:numId w:val="2"/>
        </w:numPr>
        <w:tabs>
          <w:tab w:val="left" w:pos="1054"/>
          <w:tab w:val="left" w:pos="2998"/>
          <w:tab w:val="left" w:pos="5970"/>
          <w:tab w:val="left" w:pos="9014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Соглашение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может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заключаться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в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форме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электронного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документа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br/>
      </w:r>
      <w:r w:rsidRPr="00FD22B6">
        <w:rPr>
          <w:rFonts w:ascii="Times New Roman" w:eastAsia="Calibri" w:hAnsi="Times New Roman" w:cs="Times New Roman"/>
          <w:sz w:val="28"/>
          <w:szCs w:val="28"/>
        </w:rPr>
        <w:t>с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использованием государственной информационной системы</w:t>
      </w:r>
      <w:r w:rsidRPr="00FD22B6">
        <w:rPr>
          <w:rFonts w:ascii="Times New Roman" w:eastAsia="Calibri" w:hAnsi="Times New Roman" w:cs="Times New Roman"/>
          <w:spacing w:val="-68"/>
          <w:sz w:val="28"/>
          <w:szCs w:val="28"/>
        </w:rPr>
        <w:t xml:space="preserve"> «</w:t>
      </w:r>
      <w:r w:rsidRPr="00FD22B6">
        <w:rPr>
          <w:rFonts w:ascii="Times New Roman" w:eastAsia="Calibri" w:hAnsi="Times New Roman" w:cs="Times New Roman"/>
          <w:sz w:val="28"/>
          <w:szCs w:val="28"/>
        </w:rPr>
        <w:t>Капиталовложения». При этом такой электронный документ (его электронный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образ) должен быть подписан (заверен) усиленной квалифицированной подписью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представителя заявителя, уполномоченного на подписание соглашения. В случае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если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соглашение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заключается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на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бумажном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носителе,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количество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экземпляров должно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соответствовать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числу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сторон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соглашения.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Каждый</w:t>
      </w:r>
      <w:r w:rsidRPr="00FD22B6">
        <w:rPr>
          <w:rFonts w:ascii="Times New Roman" w:eastAsia="Calibri" w:hAnsi="Times New Roman" w:cs="Times New Roman"/>
          <w:spacing w:val="7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экземпляр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соглашения подписывается всеми его сторонами и имеет равную юридическую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силу.</w:t>
      </w:r>
    </w:p>
    <w:p w14:paraId="1C581AB0" w14:textId="77777777" w:rsidR="00FD22B6" w:rsidRPr="00FD22B6" w:rsidRDefault="00FD22B6" w:rsidP="00FD22B6">
      <w:pPr>
        <w:widowControl w:val="0"/>
        <w:numPr>
          <w:ilvl w:val="0"/>
          <w:numId w:val="2"/>
        </w:numPr>
        <w:tabs>
          <w:tab w:val="left" w:pos="1040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Соглашение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заключается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российским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юридическим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лицом,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которое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соответствует</w:t>
      </w:r>
      <w:r w:rsidRPr="00FD22B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следующим требованиям:</w:t>
      </w:r>
    </w:p>
    <w:p w14:paraId="7B048556" w14:textId="77777777" w:rsidR="00FD22B6" w:rsidRPr="00FD22B6" w:rsidRDefault="00FD22B6" w:rsidP="00FD22B6">
      <w:pPr>
        <w:widowControl w:val="0"/>
        <w:numPr>
          <w:ilvl w:val="0"/>
          <w:numId w:val="4"/>
        </w:numPr>
        <w:tabs>
          <w:tab w:val="left" w:pos="960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заявитель отвечает признакам организации, реализующей инвестиционный </w:t>
      </w:r>
      <w:r w:rsidRPr="00FD22B6">
        <w:rPr>
          <w:rFonts w:ascii="Times New Roman" w:eastAsia="Calibri" w:hAnsi="Times New Roman" w:cs="Times New Roman"/>
          <w:spacing w:val="-67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проект,</w:t>
      </w:r>
      <w:r w:rsidRPr="00FD22B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установленным </w:t>
      </w:r>
      <w:hyperlink r:id="rId10">
        <w:r w:rsidRPr="00FD22B6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8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части</w:t>
        </w:r>
        <w:r w:rsidRPr="00FD22B6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1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статьи</w:t>
        </w:r>
        <w:r w:rsidRPr="00FD22B6">
          <w:rPr>
            <w:rFonts w:ascii="Times New Roman" w:eastAsia="Calibri" w:hAnsi="Times New Roman" w:cs="Times New Roman"/>
            <w:spacing w:val="-4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2</w:t>
        </w:r>
        <w:r w:rsidRPr="00FD22B6">
          <w:rPr>
            <w:rFonts w:ascii="Times New Roman" w:eastAsia="Calibri" w:hAnsi="Times New Roman" w:cs="Times New Roman"/>
            <w:spacing w:val="1"/>
            <w:sz w:val="28"/>
            <w:szCs w:val="28"/>
          </w:rPr>
          <w:t xml:space="preserve"> </w:t>
        </w:r>
      </w:hyperlink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>Закона  № 69-ФЗ</w:t>
      </w:r>
      <w:r w:rsidRPr="00FD22B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77C254E" w14:textId="77777777" w:rsidR="00FD22B6" w:rsidRPr="00FD22B6" w:rsidRDefault="00FD22B6" w:rsidP="00FD22B6">
      <w:pPr>
        <w:widowControl w:val="0"/>
        <w:numPr>
          <w:ilvl w:val="0"/>
          <w:numId w:val="4"/>
        </w:numPr>
        <w:tabs>
          <w:tab w:val="left" w:pos="1025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bookmark2"/>
      <w:bookmarkEnd w:id="5"/>
      <w:r w:rsidRPr="00FD22B6">
        <w:rPr>
          <w:rFonts w:ascii="Times New Roman" w:eastAsia="Calibri" w:hAnsi="Times New Roman" w:cs="Times New Roman"/>
          <w:sz w:val="28"/>
          <w:szCs w:val="28"/>
        </w:rPr>
        <w:t>заявителем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представлена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достоверная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информация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себе,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в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том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числе</w:t>
      </w:r>
      <w:r w:rsidRPr="00FD22B6">
        <w:rPr>
          <w:rFonts w:ascii="Times New Roman" w:eastAsia="Calibri" w:hAnsi="Times New Roman" w:cs="Times New Roman"/>
          <w:spacing w:val="-67"/>
          <w:sz w:val="28"/>
          <w:szCs w:val="28"/>
        </w:rPr>
        <w:t xml:space="preserve">    </w:t>
      </w:r>
      <w:r w:rsidRPr="00FD22B6">
        <w:rPr>
          <w:rFonts w:ascii="Times New Roman" w:eastAsia="Calibri" w:hAnsi="Times New Roman" w:cs="Times New Roman"/>
          <w:spacing w:val="-67"/>
          <w:sz w:val="28"/>
          <w:szCs w:val="28"/>
        </w:rPr>
        <w:br/>
      </w:r>
      <w:r w:rsidRPr="00FD22B6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информация,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соответствующая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сведениям,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содержащимся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в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Едином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государственном</w:t>
      </w:r>
      <w:r w:rsidRPr="00FD22B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реестре</w:t>
      </w:r>
      <w:r w:rsidRPr="00FD22B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юридических</w:t>
      </w:r>
      <w:r w:rsidRPr="00FD22B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лиц,</w:t>
      </w:r>
      <w:r w:rsidRPr="00FD22B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включая сведения</w:t>
      </w:r>
      <w:r w:rsidRPr="00FD22B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 том,</w:t>
      </w:r>
      <w:r w:rsidRPr="00FD22B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что:</w:t>
      </w:r>
    </w:p>
    <w:p w14:paraId="70B02548" w14:textId="77777777" w:rsidR="00FD22B6" w:rsidRPr="00FD22B6" w:rsidRDefault="00FD22B6" w:rsidP="00FD22B6">
      <w:pPr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заявитель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находится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н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не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предстоящем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исключении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</w:t>
      </w:r>
      <w:r w:rsidRPr="00FD22B6">
        <w:rPr>
          <w:rFonts w:ascii="Times New Roman" w:eastAsia="Times New Roman" w:hAnsi="Times New Roman" w:cs="Times New Roman"/>
          <w:spacing w:val="-67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 w:rsidRPr="00FD22B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реестра юридических</w:t>
      </w:r>
      <w:r w:rsidRPr="00FD22B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лиц;</w:t>
      </w:r>
    </w:p>
    <w:p w14:paraId="3093366A" w14:textId="77777777" w:rsidR="00FD22B6" w:rsidRPr="00FD22B6" w:rsidRDefault="00FD22B6" w:rsidP="00FD22B6">
      <w:pPr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FD22B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Pr="00FD22B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FD22B6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D22B6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FD22B6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D22B6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Pr="00FD22B6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hyperlink r:id="rId11">
        <w:r w:rsidRPr="00FD22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  <w:r w:rsidRPr="00FD22B6">
          <w:rPr>
            <w:rFonts w:ascii="Times New Roman" w:eastAsia="Times New Roman" w:hAnsi="Times New Roman" w:cs="Times New Roman"/>
            <w:spacing w:val="10"/>
            <w:sz w:val="28"/>
            <w:szCs w:val="28"/>
            <w:lang w:eastAsia="ru-RU"/>
          </w:rPr>
          <w:t xml:space="preserve"> </w:t>
        </w:r>
      </w:hyperlink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FD22B6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26.10.2002 № 127-ФЗ «О несостоятельности (банкротстве)» не возбуждено производство по</w:t>
      </w:r>
      <w:r w:rsidRPr="00FD22B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делу</w:t>
      </w:r>
      <w:r w:rsidRPr="00FD22B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несостоятельности (банкротстве).</w:t>
      </w:r>
    </w:p>
    <w:p w14:paraId="1A9B52B5" w14:textId="77777777" w:rsidR="00FD22B6" w:rsidRPr="00FD22B6" w:rsidRDefault="00FD22B6" w:rsidP="00FD22B6">
      <w:pPr>
        <w:widowControl w:val="0"/>
        <w:numPr>
          <w:ilvl w:val="0"/>
          <w:numId w:val="2"/>
        </w:numPr>
        <w:tabs>
          <w:tab w:val="left" w:pos="951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bookmark3"/>
      <w:bookmarkEnd w:id="6"/>
      <w:r w:rsidRPr="00FD22B6">
        <w:rPr>
          <w:rFonts w:ascii="Times New Roman" w:eastAsia="Calibri" w:hAnsi="Times New Roman" w:cs="Times New Roman"/>
          <w:sz w:val="28"/>
          <w:szCs w:val="28"/>
        </w:rPr>
        <w:t>Соглашение</w:t>
      </w:r>
      <w:r w:rsidRPr="00FD22B6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заключается</w:t>
      </w:r>
      <w:r w:rsidRPr="00FD22B6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в</w:t>
      </w:r>
      <w:r w:rsidRPr="00FD22B6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отношении</w:t>
      </w:r>
      <w:r w:rsidRPr="00FD22B6">
        <w:rPr>
          <w:rFonts w:ascii="Times New Roman" w:eastAsia="Calibri" w:hAnsi="Times New Roman" w:cs="Times New Roman"/>
          <w:spacing w:val="13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инвестиционного</w:t>
      </w:r>
      <w:r w:rsidRPr="00FD22B6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проекта,</w:t>
      </w:r>
      <w:r w:rsidRPr="00FD22B6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который</w:t>
      </w:r>
      <w:r w:rsidRPr="00FD22B6">
        <w:rPr>
          <w:rFonts w:ascii="Times New Roman" w:eastAsia="Calibri" w:hAnsi="Times New Roman" w:cs="Times New Roman"/>
          <w:spacing w:val="-67"/>
          <w:sz w:val="28"/>
          <w:szCs w:val="28"/>
        </w:rPr>
        <w:t xml:space="preserve">      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соответствует</w:t>
      </w:r>
      <w:r w:rsidRPr="00FD22B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следующим требованиям:</w:t>
      </w:r>
    </w:p>
    <w:p w14:paraId="53C0A732" w14:textId="77777777" w:rsidR="00FD22B6" w:rsidRPr="00FD22B6" w:rsidRDefault="00FD22B6" w:rsidP="00FD22B6">
      <w:pPr>
        <w:widowControl w:val="0"/>
        <w:numPr>
          <w:ilvl w:val="0"/>
          <w:numId w:val="3"/>
        </w:numPr>
        <w:tabs>
          <w:tab w:val="left" w:pos="1035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инвестиционный</w:t>
      </w:r>
      <w:r w:rsidRPr="00FD22B6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FD22B6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отвечает</w:t>
      </w:r>
      <w:r w:rsidRPr="00FD22B6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признакам</w:t>
      </w:r>
      <w:r w:rsidRPr="00FD22B6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инвестиционного</w:t>
      </w:r>
      <w:r w:rsidRPr="00FD22B6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проекта, предусмотренным</w:t>
      </w:r>
      <w:r w:rsidRPr="00FD22B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hyperlink r:id="rId12">
        <w:r w:rsidRPr="00FD22B6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3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части</w:t>
        </w:r>
        <w:r w:rsidRPr="00FD22B6"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1 статьи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2</w:t>
        </w:r>
        <w:r w:rsidRPr="00FD22B6">
          <w:rPr>
            <w:rFonts w:ascii="Times New Roman" w:eastAsia="Calibri" w:hAnsi="Times New Roman" w:cs="Times New Roman"/>
            <w:spacing w:val="1"/>
            <w:sz w:val="28"/>
            <w:szCs w:val="28"/>
          </w:rPr>
          <w:t xml:space="preserve"> </w:t>
        </w:r>
      </w:hyperlink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>Закона  № 69-ФЗ</w:t>
      </w:r>
      <w:r w:rsidRPr="00FD22B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0DB00E8" w14:textId="77777777" w:rsidR="00FD22B6" w:rsidRPr="00FD22B6" w:rsidRDefault="00FD22B6" w:rsidP="00FD22B6">
      <w:pPr>
        <w:widowControl w:val="0"/>
        <w:numPr>
          <w:ilvl w:val="0"/>
          <w:numId w:val="3"/>
        </w:numPr>
        <w:tabs>
          <w:tab w:val="left" w:pos="1068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инвестиционный</w:t>
      </w:r>
      <w:r w:rsidRPr="00FD22B6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FD22B6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отвечает</w:t>
      </w:r>
      <w:r w:rsidRPr="00FD22B6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признакам</w:t>
      </w:r>
      <w:r w:rsidRPr="00FD22B6">
        <w:rPr>
          <w:rFonts w:ascii="Times New Roman" w:eastAsia="Calibri" w:hAnsi="Times New Roman" w:cs="Times New Roman"/>
          <w:spacing w:val="37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нового</w:t>
      </w:r>
      <w:r w:rsidRPr="00FD22B6">
        <w:rPr>
          <w:rFonts w:ascii="Times New Roman" w:eastAsia="Calibri" w:hAnsi="Times New Roman" w:cs="Times New Roman"/>
          <w:spacing w:val="38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инвестиционного проекта,</w:t>
      </w:r>
      <w:r w:rsidRPr="00FD22B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предусмотренного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hyperlink r:id="rId13">
        <w:r w:rsidRPr="00FD22B6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6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части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1</w:t>
        </w:r>
        <w:r w:rsidRPr="00FD22B6">
          <w:rPr>
            <w:rFonts w:ascii="Times New Roman" w:eastAsia="Calibri" w:hAnsi="Times New Roman" w:cs="Times New Roman"/>
            <w:spacing w:val="-4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статьи</w:t>
        </w:r>
        <w:r w:rsidRPr="00FD22B6">
          <w:rPr>
            <w:rFonts w:ascii="Times New Roman" w:eastAsia="Calibri" w:hAnsi="Times New Roman" w:cs="Times New Roman"/>
            <w:spacing w:val="-4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2</w:t>
        </w:r>
        <w:r w:rsidRPr="00FD22B6">
          <w:rPr>
            <w:rFonts w:ascii="Times New Roman" w:eastAsia="Calibri" w:hAnsi="Times New Roman" w:cs="Times New Roman"/>
            <w:spacing w:val="1"/>
            <w:sz w:val="28"/>
            <w:szCs w:val="28"/>
          </w:rPr>
          <w:t xml:space="preserve"> </w:t>
        </w:r>
      </w:hyperlink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Закона  № 69-ФЗ</w:t>
      </w:r>
      <w:r w:rsidRPr="00FD22B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CBE92A9" w14:textId="77777777" w:rsidR="00FD22B6" w:rsidRPr="00FD22B6" w:rsidRDefault="00FD22B6" w:rsidP="00FD22B6">
      <w:pPr>
        <w:widowControl w:val="0"/>
        <w:numPr>
          <w:ilvl w:val="0"/>
          <w:numId w:val="3"/>
        </w:numPr>
        <w:tabs>
          <w:tab w:val="left" w:pos="1068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инвестиционный</w:t>
      </w:r>
      <w:r w:rsidRPr="00FD22B6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FD22B6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реализуется</w:t>
      </w:r>
      <w:r w:rsidRPr="00FD22B6">
        <w:rPr>
          <w:rFonts w:ascii="Times New Roman" w:eastAsia="Calibri" w:hAnsi="Times New Roman" w:cs="Times New Roman"/>
          <w:spacing w:val="44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в</w:t>
      </w:r>
      <w:r w:rsidRPr="00FD22B6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сфере</w:t>
      </w:r>
      <w:r w:rsidRPr="00FD22B6">
        <w:rPr>
          <w:rFonts w:ascii="Times New Roman" w:eastAsia="Calibri" w:hAnsi="Times New Roman" w:cs="Times New Roman"/>
          <w:spacing w:val="4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Pr="00FD22B6">
        <w:rPr>
          <w:rFonts w:ascii="Times New Roman" w:eastAsia="Calibri" w:hAnsi="Times New Roman" w:cs="Times New Roman"/>
          <w:spacing w:val="42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экономики,</w:t>
      </w:r>
      <w:r w:rsidRPr="00FD22B6">
        <w:rPr>
          <w:rFonts w:ascii="Times New Roman" w:eastAsia="Calibri" w:hAnsi="Times New Roman" w:cs="Times New Roman"/>
          <w:spacing w:val="-67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pacing w:val="-67"/>
          <w:sz w:val="28"/>
          <w:szCs w:val="28"/>
        </w:rPr>
        <w:br/>
      </w:r>
      <w:r w:rsidRPr="00FD22B6">
        <w:rPr>
          <w:rFonts w:ascii="Times New Roman" w:eastAsia="Calibri" w:hAnsi="Times New Roman" w:cs="Times New Roman"/>
          <w:sz w:val="28"/>
          <w:szCs w:val="28"/>
        </w:rPr>
        <w:t>которая</w:t>
      </w:r>
      <w:r w:rsidRPr="00FD22B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отвечает</w:t>
      </w:r>
      <w:r w:rsidRPr="00FD22B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требованиям,</w:t>
      </w:r>
      <w:r w:rsidRPr="00FD22B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установленным </w:t>
      </w:r>
      <w:hyperlink r:id="rId14">
        <w:r w:rsidRPr="00FD22B6">
          <w:rPr>
            <w:rFonts w:ascii="Times New Roman" w:eastAsia="Calibri" w:hAnsi="Times New Roman" w:cs="Times New Roman"/>
            <w:sz w:val="28"/>
            <w:szCs w:val="28"/>
          </w:rPr>
          <w:t>статьей</w:t>
        </w:r>
        <w:r w:rsidRPr="00FD22B6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6</w:t>
        </w:r>
        <w:r w:rsidRPr="00FD22B6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</w:hyperlink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Закона  № 69-ФЗ</w:t>
      </w:r>
      <w:r w:rsidRPr="00FD22B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60D10B9" w14:textId="77777777" w:rsidR="00FD22B6" w:rsidRPr="00FD22B6" w:rsidRDefault="00FD22B6" w:rsidP="00FD22B6">
      <w:pPr>
        <w:widowControl w:val="0"/>
        <w:numPr>
          <w:ilvl w:val="0"/>
          <w:numId w:val="3"/>
        </w:numPr>
        <w:tabs>
          <w:tab w:val="left" w:pos="1054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планируемый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заявителем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объем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капиталовложений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в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инвестиционный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 (а в случае, если инвестиционный проект реализуется на момент подачи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заявления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заключении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соглашения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-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общий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объем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осуществленных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планируемых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к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осуществлению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капиталовложений)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соответствует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положениям </w:t>
      </w:r>
      <w:hyperlink r:id="rId15">
        <w:r w:rsidRPr="00FD22B6">
          <w:rPr>
            <w:rFonts w:ascii="Times New Roman" w:eastAsia="Calibri" w:hAnsi="Times New Roman" w:cs="Times New Roman"/>
            <w:sz w:val="28"/>
            <w:szCs w:val="28"/>
          </w:rPr>
          <w:t xml:space="preserve">пункта 1 части 4 статьи 9 </w:t>
        </w:r>
      </w:hyperlink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Закона  № 69-ФЗ</w:t>
      </w:r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 (при этом для случаев заключения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соглашения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в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отношении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нового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инвестиционного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проекта,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предусмотренного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hyperlink r:id="rId16">
        <w:r w:rsidRPr="00FD22B6">
          <w:rPr>
            <w:rFonts w:ascii="Times New Roman" w:eastAsia="Calibri" w:hAnsi="Times New Roman" w:cs="Times New Roman"/>
            <w:sz w:val="28"/>
            <w:szCs w:val="28"/>
          </w:rPr>
          <w:t>подпунктом «а» пункта 6 части 1 статьи 2</w:t>
        </w:r>
      </w:hyperlink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>Закона  № 69-ФЗ</w:t>
      </w:r>
      <w:r w:rsidRPr="00FD22B6">
        <w:rPr>
          <w:rFonts w:ascii="Times New Roman" w:eastAsia="Calibri" w:hAnsi="Times New Roman" w:cs="Times New Roman"/>
          <w:sz w:val="28"/>
          <w:szCs w:val="28"/>
        </w:rPr>
        <w:t>, соблюдаются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требования,</w:t>
      </w:r>
      <w:r w:rsidRPr="00FD22B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установленные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hyperlink r:id="rId17">
        <w:r w:rsidRPr="00FD22B6">
          <w:rPr>
            <w:rFonts w:ascii="Times New Roman" w:eastAsia="Calibri" w:hAnsi="Times New Roman" w:cs="Times New Roman"/>
            <w:sz w:val="28"/>
            <w:szCs w:val="28"/>
          </w:rPr>
          <w:t>частью</w:t>
        </w:r>
        <w:r w:rsidRPr="00FD22B6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3.1 статьи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 xml:space="preserve">7 </w:t>
        </w:r>
      </w:hyperlink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Закона  № 69-ФЗ</w:t>
      </w:r>
      <w:r w:rsidRPr="00FD22B6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3E474CF1" w14:textId="77777777" w:rsidR="00FD22B6" w:rsidRPr="00FD22B6" w:rsidRDefault="00FD22B6" w:rsidP="00FD22B6">
      <w:pPr>
        <w:widowControl w:val="0"/>
        <w:numPr>
          <w:ilvl w:val="0"/>
          <w:numId w:val="3"/>
        </w:numPr>
        <w:tabs>
          <w:tab w:val="left" w:pos="977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вложенные в инвестиционный проект и (или) планируемые к вложению </w:t>
      </w:r>
      <w:r w:rsidRPr="00FD22B6">
        <w:rPr>
          <w:rFonts w:ascii="Times New Roman" w:eastAsia="Calibri" w:hAnsi="Times New Roman" w:cs="Times New Roman"/>
          <w:sz w:val="28"/>
          <w:szCs w:val="28"/>
        </w:rPr>
        <w:br/>
        <w:t>в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инвестиционный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денежные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средства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(капиталовложения)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отвечают</w:t>
      </w:r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требованиям,</w:t>
      </w:r>
      <w:r w:rsidRPr="00FD22B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FD22B6">
        <w:rPr>
          <w:rFonts w:ascii="Times New Roman" w:eastAsia="Calibri" w:hAnsi="Times New Roman" w:cs="Times New Roman"/>
          <w:sz w:val="28"/>
          <w:szCs w:val="28"/>
        </w:rPr>
        <w:t>установленным</w:t>
      </w:r>
      <w:r w:rsidRPr="00FD22B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hyperlink r:id="rId18">
        <w:r w:rsidRPr="00FD22B6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  <w:r w:rsidRPr="00FD22B6">
          <w:rPr>
            <w:rFonts w:ascii="Times New Roman" w:eastAsia="Calibri" w:hAnsi="Times New Roman" w:cs="Times New Roman"/>
            <w:spacing w:val="-4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5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части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1</w:t>
        </w:r>
        <w:r w:rsidRPr="00FD22B6">
          <w:rPr>
            <w:rFonts w:ascii="Times New Roman" w:eastAsia="Calibri" w:hAnsi="Times New Roman" w:cs="Times New Roman"/>
            <w:spacing w:val="-1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статьи</w:t>
        </w:r>
        <w:r w:rsidRPr="00FD22B6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 w:rsidRPr="00FD22B6">
          <w:rPr>
            <w:rFonts w:ascii="Times New Roman" w:eastAsia="Calibri" w:hAnsi="Times New Roman" w:cs="Times New Roman"/>
            <w:sz w:val="28"/>
            <w:szCs w:val="28"/>
          </w:rPr>
          <w:t>2</w:t>
        </w:r>
        <w:r w:rsidRPr="00FD22B6">
          <w:rPr>
            <w:rFonts w:ascii="Times New Roman" w:eastAsia="Calibri" w:hAnsi="Times New Roman" w:cs="Times New Roman"/>
            <w:spacing w:val="2"/>
            <w:sz w:val="28"/>
            <w:szCs w:val="28"/>
          </w:rPr>
          <w:t xml:space="preserve"> </w:t>
        </w:r>
      </w:hyperlink>
      <w:r w:rsidRPr="00FD22B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Закона  № 69-ФЗ</w:t>
      </w:r>
      <w:r w:rsidRPr="00FD22B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05F9B2F" w14:textId="77777777" w:rsidR="00FD22B6" w:rsidRPr="00FD22B6" w:rsidRDefault="00FD22B6" w:rsidP="00FD22B6">
      <w:pPr>
        <w:widowControl w:val="0"/>
        <w:numPr>
          <w:ilvl w:val="0"/>
          <w:numId w:val="2"/>
        </w:numPr>
        <w:tabs>
          <w:tab w:val="left" w:pos="977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Уполномоченным органом на заключение соглашения от имени муниципального образования – городской округ Истра является Администрация.</w:t>
      </w:r>
    </w:p>
    <w:p w14:paraId="7ED1278C" w14:textId="77777777" w:rsidR="00FD22B6" w:rsidRPr="00FD22B6" w:rsidRDefault="00FD22B6" w:rsidP="00FD22B6">
      <w:pPr>
        <w:widowControl w:val="0"/>
        <w:numPr>
          <w:ilvl w:val="0"/>
          <w:numId w:val="2"/>
        </w:numPr>
        <w:tabs>
          <w:tab w:val="left" w:pos="977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Для заключения соглашения заявитель направляет в Администрацию заявление о заключении соглашения о защите и поощрении капиталовложений по форме согласно приложению 1 к Порядку заключения соглашений о защите и поощрении капиталовложений, изменения и прекращения действия таких о защите и поощрении капиталовложений, стороной которых является Московская область и не является Российская Федерация, </w:t>
      </w:r>
      <w:r w:rsidRPr="00FD22B6">
        <w:rPr>
          <w:rFonts w:ascii="Times New Roman" w:eastAsia="Calibri" w:hAnsi="Times New Roman" w:cs="Times New Roman"/>
          <w:sz w:val="28"/>
          <w:szCs w:val="28"/>
        </w:rPr>
        <w:br/>
        <w:t xml:space="preserve">изменения и прекращения действия таких соглашений, особенности раскрытия информации о бенефициарных владельцах организации, реализующей инвестиционный проект (далее – Порядок), утвержденному </w:t>
      </w:r>
      <w:r w:rsidRPr="00FD22B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постановлением Правительства Московской области от 14.12.2022 № 1382/46, с приложением документов и материалов, указанных в пунктах 11 и 13 Порядка, </w:t>
      </w:r>
      <w:r w:rsidRPr="00FD22B6">
        <w:rPr>
          <w:rFonts w:ascii="Times New Roman" w:eastAsia="Calibri" w:hAnsi="Times New Roman" w:cs="Times New Roman"/>
          <w:sz w:val="28"/>
          <w:szCs w:val="28"/>
        </w:rPr>
        <w:br/>
        <w:t xml:space="preserve">а также (если применимо) в пунктах 12 и 14 Порядка, и описи прилагаемых к заявлению о заключении соглашения документов и материалов. </w:t>
      </w:r>
      <w:r w:rsidRPr="00FD22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Уполномоченный орган при поступлении проектов соглашений и (или) </w:t>
      </w:r>
      <w:r w:rsidRPr="00FD22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дополнительных соглашений к ним о внесении изменений и (или) прекращении действия соглашения, а также прилагаемых к ним документов и материалов организует их рассмотрение в соответствии с настоящим Порядком.</w:t>
      </w:r>
    </w:p>
    <w:p w14:paraId="38E71F05" w14:textId="77777777" w:rsidR="00FD22B6" w:rsidRPr="00FD22B6" w:rsidRDefault="00FD22B6" w:rsidP="00FD22B6">
      <w:pPr>
        <w:widowControl w:val="0"/>
        <w:numPr>
          <w:ilvl w:val="0"/>
          <w:numId w:val="2"/>
        </w:numPr>
        <w:tabs>
          <w:tab w:val="left" w:pos="977"/>
        </w:tabs>
        <w:autoSpaceDE w:val="0"/>
        <w:autoSpaceDN w:val="0"/>
        <w:spacing w:after="0" w:line="240" w:lineRule="auto"/>
        <w:ind w:right="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Для организации подписания от имени городского округа Истра Московской области соглашений и дополнительных соглашений к ним, принятия решения об изменении и прекращении соглашений Уполномоченный орган в течение одного рабочего дня со дня получения документов, </w:t>
      </w:r>
      <w:r w:rsidRPr="00FD2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указанных в пункте 6 </w:t>
      </w:r>
      <w:r w:rsidRPr="00FD22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настоящего Порядка, направляет их на рассмотрение и согласование в:</w:t>
      </w:r>
    </w:p>
    <w:p w14:paraId="159DD1B8" w14:textId="77777777" w:rsidR="00FD22B6" w:rsidRPr="00FD22B6" w:rsidRDefault="00FD22B6" w:rsidP="00FD22B6">
      <w:pPr>
        <w:numPr>
          <w:ilvl w:val="0"/>
          <w:numId w:val="1"/>
        </w:numPr>
        <w:suppressAutoHyphens/>
        <w:autoSpaceDN w:val="0"/>
        <w:spacing w:after="0" w:line="240" w:lineRule="auto"/>
        <w:ind w:right="3" w:firstLine="567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>отраслевые (функциональные) органы Администрации, осуществляющие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 (при наличии).</w:t>
      </w:r>
    </w:p>
    <w:p w14:paraId="62833D95" w14:textId="77777777" w:rsidR="00FD22B6" w:rsidRPr="00FD22B6" w:rsidRDefault="00FD22B6" w:rsidP="00FD22B6">
      <w:pPr>
        <w:numPr>
          <w:ilvl w:val="0"/>
          <w:numId w:val="2"/>
        </w:numPr>
        <w:suppressAutoHyphens/>
        <w:autoSpaceDN w:val="0"/>
        <w:spacing w:after="0" w:line="240" w:lineRule="auto"/>
        <w:ind w:right="3" w:firstLine="567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D22B6">
        <w:rPr>
          <w:rFonts w:ascii="Times New Roman" w:eastAsia="Calibri" w:hAnsi="Times New Roman" w:cs="Times New Roman"/>
          <w:sz w:val="28"/>
          <w:szCs w:val="28"/>
        </w:rPr>
        <w:t xml:space="preserve">Отраслевые (функциональные) органы Администрации </w:t>
      </w:r>
      <w:r w:rsidRPr="00FD22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течение одного рабочего дня со дня поступления на рассмотрение документов, указанных </w:t>
      </w:r>
      <w:r w:rsidRPr="00FD2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6 </w:t>
      </w:r>
      <w:r w:rsidRPr="00FD22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настоящего порядка, готовят обоснованное письменное мнение:</w:t>
      </w:r>
    </w:p>
    <w:p w14:paraId="5FDE70BE" w14:textId="77777777" w:rsidR="00FD22B6" w:rsidRPr="00FD22B6" w:rsidRDefault="00FD22B6" w:rsidP="00FD22B6">
      <w:pPr>
        <w:numPr>
          <w:ilvl w:val="0"/>
          <w:numId w:val="5"/>
        </w:numPr>
        <w:tabs>
          <w:tab w:val="left" w:pos="0"/>
        </w:tabs>
        <w:spacing w:after="0" w:line="240" w:lineRule="auto"/>
        <w:ind w:right="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возможности от имени городского округа Истра Московской области </w:t>
      </w:r>
    </w:p>
    <w:p w14:paraId="73980D46" w14:textId="77777777" w:rsidR="00FD22B6" w:rsidRPr="00FD22B6" w:rsidRDefault="00FD22B6" w:rsidP="00FD22B6">
      <w:pPr>
        <w:tabs>
          <w:tab w:val="left" w:pos="0"/>
        </w:tabs>
        <w:spacing w:after="0" w:line="240" w:lineRule="auto"/>
        <w:ind w:right="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соглашение или дополнительное соглашение к нему;</w:t>
      </w:r>
    </w:p>
    <w:p w14:paraId="2B4237FB" w14:textId="77777777" w:rsidR="00FD22B6" w:rsidRPr="00FD22B6" w:rsidRDefault="00FD22B6" w:rsidP="00FD22B6">
      <w:pPr>
        <w:numPr>
          <w:ilvl w:val="0"/>
          <w:numId w:val="5"/>
        </w:numPr>
        <w:tabs>
          <w:tab w:val="left" w:pos="0"/>
        </w:tabs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невозможности от имени городского округа Истра Московской области заключить соглашение или дополнительное соглашение к нему. </w:t>
      </w:r>
    </w:p>
    <w:p w14:paraId="266A7446" w14:textId="77777777" w:rsidR="00FD22B6" w:rsidRPr="00FD22B6" w:rsidRDefault="00FD22B6" w:rsidP="00FD22B6">
      <w:pPr>
        <w:tabs>
          <w:tab w:val="left" w:pos="0"/>
        </w:tabs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течение трех рабочих дней со дня получения проекта соглашения, а также прилагаемых к нему документов и материалов Уполномоченный орган:</w:t>
      </w:r>
    </w:p>
    <w:p w14:paraId="5CFB5DF8" w14:textId="77777777" w:rsidR="00FD22B6" w:rsidRPr="00FD22B6" w:rsidRDefault="00FD22B6" w:rsidP="00FD22B6">
      <w:pPr>
        <w:tabs>
          <w:tab w:val="left" w:pos="0"/>
        </w:tabs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подписывает соглашение в случае не выявления обстоятельств, указанных в пункте 8 настоящего Порядка;</w:t>
      </w:r>
    </w:p>
    <w:p w14:paraId="3250EA4E" w14:textId="77777777" w:rsidR="00FD22B6" w:rsidRPr="00FD22B6" w:rsidRDefault="00FD22B6" w:rsidP="00FD22B6">
      <w:pPr>
        <w:tabs>
          <w:tab w:val="left" w:pos="0"/>
        </w:tabs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 подписывает соглашение в случае выявления обстоятельств, указанных в пункте 8 настоящего Порядка, подготавливает письмо, содержащее обоснование невозможности заключения соглашения со ссылками на положения Закона №69-ФЗ и нормативных правовых актов Правительства Российской Федерации и (или) Правительства Московской области, которые не соблюдены инициатором проекта, и направляет его в уполномоченный орган государственной власти Московской области в сфере защиты и поощрении капиталовложений в Московской области.</w:t>
      </w:r>
    </w:p>
    <w:p w14:paraId="65398BCC" w14:textId="77777777" w:rsidR="00FD22B6" w:rsidRPr="00FD22B6" w:rsidRDefault="00FD22B6" w:rsidP="00FD22B6">
      <w:pPr>
        <w:tabs>
          <w:tab w:val="left" w:pos="0"/>
        </w:tabs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 В течение трех рабочих дней со дня получения проекта дополнительного соглашения к соглашению, а также прилагаемых к нему документов и материалов Уполномоченный орган:</w:t>
      </w:r>
    </w:p>
    <w:p w14:paraId="6BB50CAA" w14:textId="77777777" w:rsidR="00FD22B6" w:rsidRPr="00FD22B6" w:rsidRDefault="00FD22B6" w:rsidP="00FD22B6">
      <w:pPr>
        <w:autoSpaceDE w:val="0"/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подписывает дополнительное соглашение в случае не выявления обстоятельств, указанных в пункте 8 настоящего Порядка;</w:t>
      </w:r>
    </w:p>
    <w:p w14:paraId="1BB3C3C1" w14:textId="77777777" w:rsidR="00FD22B6" w:rsidRPr="00FD22B6" w:rsidRDefault="00FD22B6" w:rsidP="00FD22B6">
      <w:pPr>
        <w:autoSpaceDE w:val="0"/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заключении дополнительного соглашения в случае выявления обстоятельств, указанных в пункте 8 настоящего Порядка, письменно информирует о данном решении сторону, инициирующую внесение изменений в соглашение, и уполномоченный орган государственной власти Московской области в сфере защиты и поощрении капиталовложений в Московской области.</w:t>
      </w:r>
    </w:p>
    <w:p w14:paraId="5A698F77" w14:textId="77777777" w:rsidR="00FD22B6" w:rsidRPr="00FD22B6" w:rsidRDefault="00FD22B6" w:rsidP="00FD22B6">
      <w:pPr>
        <w:autoSpaceDE w:val="0"/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течение трех рабочих дней со дня получения проекта дополнительного соглашения о прекращении действия соглашения, а также прилагаемых к нему документов и материалов, при отсутствии возражений Уполномоченный орган подписывает дополнительное соглашение о прекращении действия соглашения.</w:t>
      </w:r>
    </w:p>
    <w:p w14:paraId="1EB1A598" w14:textId="77777777" w:rsidR="00FD22B6" w:rsidRPr="00FD22B6" w:rsidRDefault="00FD22B6" w:rsidP="00FD22B6">
      <w:pPr>
        <w:autoSpaceDE w:val="0"/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 случае наличия возражений по результатам рассмотрения документов, указанных в пункте 11 настоящего Порядка, Уполномоченный орган принимает решение об отказе в подписании дополнительного соглашения о прекращении действия соглашения, о чем в течение трех рабочих дней письменно уведомляет сторону, инициирующую прекращение действия соглашения, и уполномоченный орган государственной власти Московской области в сфере защиты и поощрении капиталовложений в Московской области.</w:t>
      </w:r>
    </w:p>
    <w:p w14:paraId="202A7823" w14:textId="77777777" w:rsidR="00FD22B6" w:rsidRPr="00FD22B6" w:rsidRDefault="00FD22B6" w:rsidP="00FD22B6">
      <w:pPr>
        <w:autoSpaceDE w:val="0"/>
        <w:spacing w:after="0" w:line="240" w:lineRule="auto"/>
        <w:ind w:right="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13. Информационное обеспечение процессов в рамках</w:t>
      </w:r>
      <w:r w:rsidRPr="00FD22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заключения (подписания), изменения и расторжения соглашений в отношении инвестиционных проектов, реализуемых (планируемых к реализации) на территории городского округа Истра Московской области, от имени городского округа Истра Московской области о</w:t>
      </w:r>
      <w:r w:rsidRPr="00FD22B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существляется с использованием государственной информационной системы «Капиталовложения».</w:t>
      </w:r>
    </w:p>
    <w:p w14:paraId="184F87DF" w14:textId="77777777" w:rsidR="00FD22B6" w:rsidRDefault="00FD22B6" w:rsidP="00FD22B6"/>
    <w:p w14:paraId="11AC437D" w14:textId="77777777" w:rsidR="00FD22B6" w:rsidRDefault="00FD22B6" w:rsidP="001D123B"/>
    <w:sectPr w:rsidR="00FD22B6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C5A1" w14:textId="77777777" w:rsidR="00FD22B6" w:rsidRDefault="00FD22B6" w:rsidP="00FD22B6">
      <w:pPr>
        <w:spacing w:after="0" w:line="240" w:lineRule="auto"/>
      </w:pPr>
      <w:r>
        <w:separator/>
      </w:r>
    </w:p>
  </w:endnote>
  <w:endnote w:type="continuationSeparator" w:id="0">
    <w:p w14:paraId="7DFC582E" w14:textId="77777777" w:rsidR="00FD22B6" w:rsidRDefault="00FD22B6" w:rsidP="00FD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3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AFC9B" w14:textId="5C4E94CF" w:rsidR="00FD22B6" w:rsidRDefault="00FD22B6">
    <w:pPr>
      <w:pStyle w:val="a5"/>
    </w:pPr>
  </w:p>
  <w:p w14:paraId="4DAFB8C4" w14:textId="77777777" w:rsidR="00FD22B6" w:rsidRDefault="00FD22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7F60B" w14:textId="77777777" w:rsidR="00FD22B6" w:rsidRDefault="00FD22B6" w:rsidP="00FD22B6">
      <w:pPr>
        <w:spacing w:after="0" w:line="240" w:lineRule="auto"/>
      </w:pPr>
      <w:r>
        <w:separator/>
      </w:r>
    </w:p>
  </w:footnote>
  <w:footnote w:type="continuationSeparator" w:id="0">
    <w:p w14:paraId="2340D366" w14:textId="77777777" w:rsidR="00FD22B6" w:rsidRDefault="00FD22B6" w:rsidP="00FD2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C31E5"/>
    <w:multiLevelType w:val="hybridMultilevel"/>
    <w:tmpl w:val="9E1AB6AE"/>
    <w:lvl w:ilvl="0" w:tplc="B3CE90C4">
      <w:start w:val="1"/>
      <w:numFmt w:val="decimal"/>
      <w:lvlText w:val="%1."/>
      <w:lvlJc w:val="left"/>
      <w:pPr>
        <w:ind w:left="108" w:hanging="410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1" w:tplc="243A2A7A">
      <w:numFmt w:val="bullet"/>
      <w:lvlText w:val="•"/>
      <w:lvlJc w:val="left"/>
      <w:pPr>
        <w:ind w:left="1104" w:hanging="410"/>
      </w:pPr>
      <w:rPr>
        <w:rFonts w:hint="default"/>
        <w:lang w:val="ru-RU" w:eastAsia="en-US" w:bidi="ar-SA"/>
      </w:rPr>
    </w:lvl>
    <w:lvl w:ilvl="2" w:tplc="0E3ECD22">
      <w:numFmt w:val="bullet"/>
      <w:lvlText w:val="•"/>
      <w:lvlJc w:val="left"/>
      <w:pPr>
        <w:ind w:left="2108" w:hanging="410"/>
      </w:pPr>
      <w:rPr>
        <w:rFonts w:hint="default"/>
        <w:lang w:val="ru-RU" w:eastAsia="en-US" w:bidi="ar-SA"/>
      </w:rPr>
    </w:lvl>
    <w:lvl w:ilvl="3" w:tplc="1D8CFF84">
      <w:numFmt w:val="bullet"/>
      <w:lvlText w:val="•"/>
      <w:lvlJc w:val="left"/>
      <w:pPr>
        <w:ind w:left="3113" w:hanging="410"/>
      </w:pPr>
      <w:rPr>
        <w:rFonts w:hint="default"/>
        <w:lang w:val="ru-RU" w:eastAsia="en-US" w:bidi="ar-SA"/>
      </w:rPr>
    </w:lvl>
    <w:lvl w:ilvl="4" w:tplc="23D61C58">
      <w:numFmt w:val="bullet"/>
      <w:lvlText w:val="•"/>
      <w:lvlJc w:val="left"/>
      <w:pPr>
        <w:ind w:left="4117" w:hanging="410"/>
      </w:pPr>
      <w:rPr>
        <w:rFonts w:hint="default"/>
        <w:lang w:val="ru-RU" w:eastAsia="en-US" w:bidi="ar-SA"/>
      </w:rPr>
    </w:lvl>
    <w:lvl w:ilvl="5" w:tplc="C4E636E4">
      <w:numFmt w:val="bullet"/>
      <w:lvlText w:val="•"/>
      <w:lvlJc w:val="left"/>
      <w:pPr>
        <w:ind w:left="5122" w:hanging="410"/>
      </w:pPr>
      <w:rPr>
        <w:rFonts w:hint="default"/>
        <w:lang w:val="ru-RU" w:eastAsia="en-US" w:bidi="ar-SA"/>
      </w:rPr>
    </w:lvl>
    <w:lvl w:ilvl="6" w:tplc="4B405BE8">
      <w:numFmt w:val="bullet"/>
      <w:lvlText w:val="•"/>
      <w:lvlJc w:val="left"/>
      <w:pPr>
        <w:ind w:left="6126" w:hanging="410"/>
      </w:pPr>
      <w:rPr>
        <w:rFonts w:hint="default"/>
        <w:lang w:val="ru-RU" w:eastAsia="en-US" w:bidi="ar-SA"/>
      </w:rPr>
    </w:lvl>
    <w:lvl w:ilvl="7" w:tplc="524216F4">
      <w:numFmt w:val="bullet"/>
      <w:lvlText w:val="•"/>
      <w:lvlJc w:val="left"/>
      <w:pPr>
        <w:ind w:left="7130" w:hanging="410"/>
      </w:pPr>
      <w:rPr>
        <w:rFonts w:hint="default"/>
        <w:lang w:val="ru-RU" w:eastAsia="en-US" w:bidi="ar-SA"/>
      </w:rPr>
    </w:lvl>
    <w:lvl w:ilvl="8" w:tplc="EBCA3E70">
      <w:numFmt w:val="bullet"/>
      <w:lvlText w:val="•"/>
      <w:lvlJc w:val="left"/>
      <w:pPr>
        <w:ind w:left="8135" w:hanging="410"/>
      </w:pPr>
      <w:rPr>
        <w:rFonts w:hint="default"/>
        <w:lang w:val="ru-RU" w:eastAsia="en-US" w:bidi="ar-SA"/>
      </w:rPr>
    </w:lvl>
  </w:abstractNum>
  <w:abstractNum w:abstractNumId="1" w15:restartNumberingAfterBreak="0">
    <w:nsid w:val="28766D3A"/>
    <w:multiLevelType w:val="hybridMultilevel"/>
    <w:tmpl w:val="6A58284E"/>
    <w:lvl w:ilvl="0" w:tplc="1A7EC8C2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B5D3B30"/>
    <w:multiLevelType w:val="hybridMultilevel"/>
    <w:tmpl w:val="D8AA84FE"/>
    <w:lvl w:ilvl="0" w:tplc="65AA9E2A">
      <w:start w:val="1"/>
      <w:numFmt w:val="decimal"/>
      <w:lvlText w:val="%1)"/>
      <w:lvlJc w:val="left"/>
      <w:pPr>
        <w:ind w:left="108" w:hanging="3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3412AE">
      <w:numFmt w:val="bullet"/>
      <w:lvlText w:val="•"/>
      <w:lvlJc w:val="left"/>
      <w:pPr>
        <w:ind w:left="1104" w:hanging="386"/>
      </w:pPr>
      <w:rPr>
        <w:rFonts w:hint="default"/>
        <w:lang w:val="ru-RU" w:eastAsia="en-US" w:bidi="ar-SA"/>
      </w:rPr>
    </w:lvl>
    <w:lvl w:ilvl="2" w:tplc="EE90B01E">
      <w:numFmt w:val="bullet"/>
      <w:lvlText w:val="•"/>
      <w:lvlJc w:val="left"/>
      <w:pPr>
        <w:ind w:left="2108" w:hanging="386"/>
      </w:pPr>
      <w:rPr>
        <w:rFonts w:hint="default"/>
        <w:lang w:val="ru-RU" w:eastAsia="en-US" w:bidi="ar-SA"/>
      </w:rPr>
    </w:lvl>
    <w:lvl w:ilvl="3" w:tplc="1E1466C8">
      <w:numFmt w:val="bullet"/>
      <w:lvlText w:val="•"/>
      <w:lvlJc w:val="left"/>
      <w:pPr>
        <w:ind w:left="3113" w:hanging="386"/>
      </w:pPr>
      <w:rPr>
        <w:rFonts w:hint="default"/>
        <w:lang w:val="ru-RU" w:eastAsia="en-US" w:bidi="ar-SA"/>
      </w:rPr>
    </w:lvl>
    <w:lvl w:ilvl="4" w:tplc="84F0743E">
      <w:numFmt w:val="bullet"/>
      <w:lvlText w:val="•"/>
      <w:lvlJc w:val="left"/>
      <w:pPr>
        <w:ind w:left="4117" w:hanging="386"/>
      </w:pPr>
      <w:rPr>
        <w:rFonts w:hint="default"/>
        <w:lang w:val="ru-RU" w:eastAsia="en-US" w:bidi="ar-SA"/>
      </w:rPr>
    </w:lvl>
    <w:lvl w:ilvl="5" w:tplc="CCFA12B6">
      <w:numFmt w:val="bullet"/>
      <w:lvlText w:val="•"/>
      <w:lvlJc w:val="left"/>
      <w:pPr>
        <w:ind w:left="5122" w:hanging="386"/>
      </w:pPr>
      <w:rPr>
        <w:rFonts w:hint="default"/>
        <w:lang w:val="ru-RU" w:eastAsia="en-US" w:bidi="ar-SA"/>
      </w:rPr>
    </w:lvl>
    <w:lvl w:ilvl="6" w:tplc="14929F5A">
      <w:numFmt w:val="bullet"/>
      <w:lvlText w:val="•"/>
      <w:lvlJc w:val="left"/>
      <w:pPr>
        <w:ind w:left="6126" w:hanging="386"/>
      </w:pPr>
      <w:rPr>
        <w:rFonts w:hint="default"/>
        <w:lang w:val="ru-RU" w:eastAsia="en-US" w:bidi="ar-SA"/>
      </w:rPr>
    </w:lvl>
    <w:lvl w:ilvl="7" w:tplc="CFEE76EA">
      <w:numFmt w:val="bullet"/>
      <w:lvlText w:val="•"/>
      <w:lvlJc w:val="left"/>
      <w:pPr>
        <w:ind w:left="7130" w:hanging="386"/>
      </w:pPr>
      <w:rPr>
        <w:rFonts w:hint="default"/>
        <w:lang w:val="ru-RU" w:eastAsia="en-US" w:bidi="ar-SA"/>
      </w:rPr>
    </w:lvl>
    <w:lvl w:ilvl="8" w:tplc="772EC1EA">
      <w:numFmt w:val="bullet"/>
      <w:lvlText w:val="•"/>
      <w:lvlJc w:val="left"/>
      <w:pPr>
        <w:ind w:left="8135" w:hanging="386"/>
      </w:pPr>
      <w:rPr>
        <w:rFonts w:hint="default"/>
        <w:lang w:val="ru-RU" w:eastAsia="en-US" w:bidi="ar-SA"/>
      </w:rPr>
    </w:lvl>
  </w:abstractNum>
  <w:abstractNum w:abstractNumId="3" w15:restartNumberingAfterBreak="0">
    <w:nsid w:val="52AA1569"/>
    <w:multiLevelType w:val="hybridMultilevel"/>
    <w:tmpl w:val="9606076A"/>
    <w:lvl w:ilvl="0" w:tplc="D3108EFE">
      <w:start w:val="1"/>
      <w:numFmt w:val="decimal"/>
      <w:lvlText w:val="%1)"/>
      <w:lvlJc w:val="left"/>
      <w:pPr>
        <w:ind w:left="10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FA0C8A">
      <w:numFmt w:val="bullet"/>
      <w:lvlText w:val="•"/>
      <w:lvlJc w:val="left"/>
      <w:pPr>
        <w:ind w:left="1104" w:hanging="312"/>
      </w:pPr>
      <w:rPr>
        <w:rFonts w:hint="default"/>
        <w:lang w:val="ru-RU" w:eastAsia="en-US" w:bidi="ar-SA"/>
      </w:rPr>
    </w:lvl>
    <w:lvl w:ilvl="2" w:tplc="866453AA">
      <w:numFmt w:val="bullet"/>
      <w:lvlText w:val="•"/>
      <w:lvlJc w:val="left"/>
      <w:pPr>
        <w:ind w:left="2108" w:hanging="312"/>
      </w:pPr>
      <w:rPr>
        <w:rFonts w:hint="default"/>
        <w:lang w:val="ru-RU" w:eastAsia="en-US" w:bidi="ar-SA"/>
      </w:rPr>
    </w:lvl>
    <w:lvl w:ilvl="3" w:tplc="038ED22A">
      <w:numFmt w:val="bullet"/>
      <w:lvlText w:val="•"/>
      <w:lvlJc w:val="left"/>
      <w:pPr>
        <w:ind w:left="3113" w:hanging="312"/>
      </w:pPr>
      <w:rPr>
        <w:rFonts w:hint="default"/>
        <w:lang w:val="ru-RU" w:eastAsia="en-US" w:bidi="ar-SA"/>
      </w:rPr>
    </w:lvl>
    <w:lvl w:ilvl="4" w:tplc="4316FAA4">
      <w:numFmt w:val="bullet"/>
      <w:lvlText w:val="•"/>
      <w:lvlJc w:val="left"/>
      <w:pPr>
        <w:ind w:left="4117" w:hanging="312"/>
      </w:pPr>
      <w:rPr>
        <w:rFonts w:hint="default"/>
        <w:lang w:val="ru-RU" w:eastAsia="en-US" w:bidi="ar-SA"/>
      </w:rPr>
    </w:lvl>
    <w:lvl w:ilvl="5" w:tplc="141CBDE6">
      <w:numFmt w:val="bullet"/>
      <w:lvlText w:val="•"/>
      <w:lvlJc w:val="left"/>
      <w:pPr>
        <w:ind w:left="5122" w:hanging="312"/>
      </w:pPr>
      <w:rPr>
        <w:rFonts w:hint="default"/>
        <w:lang w:val="ru-RU" w:eastAsia="en-US" w:bidi="ar-SA"/>
      </w:rPr>
    </w:lvl>
    <w:lvl w:ilvl="6" w:tplc="C006211A">
      <w:numFmt w:val="bullet"/>
      <w:lvlText w:val="•"/>
      <w:lvlJc w:val="left"/>
      <w:pPr>
        <w:ind w:left="6126" w:hanging="312"/>
      </w:pPr>
      <w:rPr>
        <w:rFonts w:hint="default"/>
        <w:lang w:val="ru-RU" w:eastAsia="en-US" w:bidi="ar-SA"/>
      </w:rPr>
    </w:lvl>
    <w:lvl w:ilvl="7" w:tplc="4D8C46F2">
      <w:numFmt w:val="bullet"/>
      <w:lvlText w:val="•"/>
      <w:lvlJc w:val="left"/>
      <w:pPr>
        <w:ind w:left="7130" w:hanging="312"/>
      </w:pPr>
      <w:rPr>
        <w:rFonts w:hint="default"/>
        <w:lang w:val="ru-RU" w:eastAsia="en-US" w:bidi="ar-SA"/>
      </w:rPr>
    </w:lvl>
    <w:lvl w:ilvl="8" w:tplc="1C74103C">
      <w:numFmt w:val="bullet"/>
      <w:lvlText w:val="•"/>
      <w:lvlJc w:val="left"/>
      <w:pPr>
        <w:ind w:left="8135" w:hanging="312"/>
      </w:pPr>
      <w:rPr>
        <w:rFonts w:hint="default"/>
        <w:lang w:val="ru-RU" w:eastAsia="en-US" w:bidi="ar-SA"/>
      </w:rPr>
    </w:lvl>
  </w:abstractNum>
  <w:abstractNum w:abstractNumId="4" w15:restartNumberingAfterBreak="0">
    <w:nsid w:val="53C163FA"/>
    <w:multiLevelType w:val="multilevel"/>
    <w:tmpl w:val="565A0E2C"/>
    <w:lvl w:ilvl="0">
      <w:start w:val="1"/>
      <w:numFmt w:val="decimal"/>
      <w:lvlText w:val="%1)"/>
      <w:lvlJc w:val="left"/>
      <w:pPr>
        <w:ind w:left="1068" w:hanging="360"/>
      </w:pPr>
      <w:rPr>
        <w:rFonts w:ascii="Liberation Serif" w:hAnsi="Liberation Serif"/>
        <w:sz w:val="26"/>
        <w:szCs w:val="2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EDC"/>
    <w:rsid w:val="001D123B"/>
    <w:rsid w:val="00290EDC"/>
    <w:rsid w:val="00ED498E"/>
    <w:rsid w:val="00FD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0172"/>
  <w15:chartTrackingRefBased/>
  <w15:docId w15:val="{EECF5DC3-71CD-4EE2-8460-DCDC80F2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22B6"/>
  </w:style>
  <w:style w:type="paragraph" w:styleId="a5">
    <w:name w:val="footer"/>
    <w:basedOn w:val="a"/>
    <w:link w:val="a6"/>
    <w:uiPriority w:val="99"/>
    <w:unhideWhenUsed/>
    <w:rsid w:val="00FD2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2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tra-adm.ru/" TargetMode="External"/><Relationship Id="rId13" Type="http://schemas.openxmlformats.org/officeDocument/2006/relationships/hyperlink" Target="https://login.consultant.ru/link/?req=doc&amp;base=LAW&amp;n=431969&amp;dst=100462" TargetMode="External"/><Relationship Id="rId18" Type="http://schemas.openxmlformats.org/officeDocument/2006/relationships/hyperlink" Target="https://login.consultant.ru/link/?req=doc&amp;base=LAW&amp;n=431969&amp;dst=10045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31969&amp;dst=100725" TargetMode="External"/><Relationship Id="rId17" Type="http://schemas.openxmlformats.org/officeDocument/2006/relationships/hyperlink" Target="https://login.consultant.ru/link/?req=doc&amp;base=LAW&amp;n=431969&amp;dst=10052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1969&amp;dst=10046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423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31969&amp;dst=100762" TargetMode="External"/><Relationship Id="rId10" Type="http://schemas.openxmlformats.org/officeDocument/2006/relationships/hyperlink" Target="https://login.consultant.ru/link/?req=doc&amp;base=LAW&amp;n=431969&amp;dst=100022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1969&amp;dst=100022" TargetMode="External"/><Relationship Id="rId14" Type="http://schemas.openxmlformats.org/officeDocument/2006/relationships/hyperlink" Target="https://login.consultant.ru/link/?req=doc&amp;base=LAW&amp;n=431969&amp;dst=1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1724</Words>
  <Characters>9832</Characters>
  <Application>Microsoft Office Word</Application>
  <DocSecurity>0</DocSecurity>
  <Lines>81</Lines>
  <Paragraphs>23</Paragraphs>
  <ScaleCrop>false</ScaleCrop>
  <Company/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Алексеевна Королёва</dc:creator>
  <cp:keywords/>
  <dc:description/>
  <cp:lastModifiedBy>Наталья Алексеевна Королёва</cp:lastModifiedBy>
  <cp:revision>3</cp:revision>
  <dcterms:created xsi:type="dcterms:W3CDTF">2024-08-22T12:01:00Z</dcterms:created>
  <dcterms:modified xsi:type="dcterms:W3CDTF">2024-09-05T12:39:00Z</dcterms:modified>
</cp:coreProperties>
</file>